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03929" w14:textId="0268C297" w:rsidR="00200788" w:rsidRPr="00200788" w:rsidRDefault="00200788" w:rsidP="004C7F4B">
      <w:pPr>
        <w:pStyle w:val="Normal1"/>
        <w:widowControl w:val="0"/>
        <w:jc w:val="center"/>
        <w:rPr>
          <w:rFonts w:asciiTheme="majorHAnsi" w:hAnsiTheme="majorHAnsi" w:cs="Arial"/>
          <w:color w:val="auto"/>
          <w:sz w:val="22"/>
          <w:szCs w:val="22"/>
        </w:rPr>
      </w:pPr>
      <w:r>
        <w:rPr>
          <w:rFonts w:asciiTheme="majorHAnsi" w:hAnsiTheme="majorHAnsi" w:cs="Arial"/>
          <w:noProof/>
          <w:color w:val="auto"/>
          <w:sz w:val="22"/>
          <w:szCs w:val="22"/>
        </w:rPr>
        <w:drawing>
          <wp:inline distT="0" distB="0" distL="0" distR="0" wp14:anchorId="07FDBFCD" wp14:editId="5701003F">
            <wp:extent cx="4105848" cy="159089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IMH logo.png"/>
                    <pic:cNvPicPr/>
                  </pic:nvPicPr>
                  <pic:blipFill>
                    <a:blip r:embed="rId6">
                      <a:extLst>
                        <a:ext uri="{28A0092B-C50C-407E-A947-70E740481C1C}">
                          <a14:useLocalDpi xmlns:a14="http://schemas.microsoft.com/office/drawing/2010/main" val="0"/>
                        </a:ext>
                      </a:extLst>
                    </a:blip>
                    <a:stretch>
                      <a:fillRect/>
                    </a:stretch>
                  </pic:blipFill>
                  <pic:spPr>
                    <a:xfrm>
                      <a:off x="0" y="0"/>
                      <a:ext cx="4105848" cy="1590897"/>
                    </a:xfrm>
                    <a:prstGeom prst="rect">
                      <a:avLst/>
                    </a:prstGeom>
                  </pic:spPr>
                </pic:pic>
              </a:graphicData>
            </a:graphic>
          </wp:inline>
        </w:drawing>
      </w:r>
    </w:p>
    <w:p w14:paraId="45DD8BB9" w14:textId="77777777" w:rsidR="00200788" w:rsidRDefault="00200788" w:rsidP="004C7F4B">
      <w:pPr>
        <w:pStyle w:val="Normal1"/>
        <w:widowControl w:val="0"/>
        <w:jc w:val="center"/>
        <w:rPr>
          <w:rFonts w:asciiTheme="majorHAnsi" w:hAnsiTheme="majorHAnsi" w:cs="Arial"/>
          <w:b/>
          <w:i/>
          <w:color w:val="auto"/>
          <w:sz w:val="22"/>
          <w:szCs w:val="22"/>
          <w:u w:val="single"/>
        </w:rPr>
      </w:pPr>
    </w:p>
    <w:p w14:paraId="432486B7" w14:textId="77777777" w:rsidR="004C7F4B" w:rsidRPr="00D467AD" w:rsidRDefault="004C7F4B" w:rsidP="00200788">
      <w:pPr>
        <w:rPr>
          <w:rFonts w:asciiTheme="majorHAnsi" w:hAnsiTheme="majorHAnsi"/>
          <w:color w:val="4F81BD" w:themeColor="accent1"/>
          <w:sz w:val="36"/>
          <w:szCs w:val="36"/>
        </w:rPr>
      </w:pPr>
      <w:r w:rsidRPr="00D467AD">
        <w:rPr>
          <w:rFonts w:asciiTheme="majorHAnsi" w:hAnsiTheme="majorHAnsi"/>
          <w:color w:val="4F81BD" w:themeColor="accent1"/>
          <w:sz w:val="36"/>
          <w:szCs w:val="36"/>
        </w:rPr>
        <w:t xml:space="preserve">Endorsement for Culturally Sensitive, Relationship-Focused Practice Promoting Infant Mental Health (IMH-E ®) Exam Resource List </w:t>
      </w:r>
    </w:p>
    <w:p w14:paraId="6B50E329" w14:textId="77777777" w:rsidR="00FB23F0" w:rsidRPr="00F85A9C" w:rsidRDefault="00FB23F0">
      <w:pPr>
        <w:pStyle w:val="Normal1"/>
        <w:widowControl w:val="0"/>
        <w:rPr>
          <w:rFonts w:asciiTheme="majorHAnsi" w:hAnsiTheme="majorHAnsi" w:cs="Arial"/>
          <w:sz w:val="22"/>
          <w:szCs w:val="22"/>
        </w:rPr>
      </w:pPr>
    </w:p>
    <w:p w14:paraId="19277D14" w14:textId="71D69389" w:rsidR="00FB23F0" w:rsidRPr="00F85A9C" w:rsidRDefault="004C7F4B">
      <w:pPr>
        <w:pStyle w:val="Normal1"/>
        <w:widowControl w:val="0"/>
        <w:rPr>
          <w:rFonts w:asciiTheme="majorHAnsi" w:eastAsia="Calibri" w:hAnsiTheme="majorHAnsi" w:cs="Arial"/>
          <w:sz w:val="22"/>
          <w:szCs w:val="22"/>
        </w:rPr>
      </w:pPr>
      <w:r w:rsidRPr="00F85A9C">
        <w:rPr>
          <w:rFonts w:asciiTheme="majorHAnsi" w:eastAsia="Calibri" w:hAnsiTheme="majorHAnsi" w:cs="Arial"/>
          <w:color w:val="auto"/>
          <w:sz w:val="22"/>
          <w:szCs w:val="22"/>
        </w:rPr>
        <w:t xml:space="preserve">In preparation for the </w:t>
      </w:r>
      <w:r w:rsidR="00F85A9C">
        <w:rPr>
          <w:rFonts w:asciiTheme="majorHAnsi" w:eastAsia="Calibri" w:hAnsiTheme="majorHAnsi" w:cs="Arial"/>
          <w:color w:val="auto"/>
          <w:sz w:val="22"/>
          <w:szCs w:val="22"/>
        </w:rPr>
        <w:t>Pennsylvania</w:t>
      </w:r>
      <w:r w:rsidRPr="00F85A9C">
        <w:rPr>
          <w:rFonts w:asciiTheme="majorHAnsi" w:eastAsia="Calibri" w:hAnsiTheme="majorHAnsi" w:cs="Arial"/>
          <w:color w:val="auto"/>
          <w:sz w:val="22"/>
          <w:szCs w:val="22"/>
        </w:rPr>
        <w:t xml:space="preserve"> Association of Infant Mental Health’s</w:t>
      </w:r>
      <w:r w:rsidR="00262D6A" w:rsidRPr="00F85A9C">
        <w:rPr>
          <w:rFonts w:asciiTheme="majorHAnsi" w:eastAsia="Calibri" w:hAnsiTheme="majorHAnsi" w:cs="Arial"/>
          <w:color w:val="auto"/>
          <w:sz w:val="22"/>
          <w:szCs w:val="22"/>
        </w:rPr>
        <w:t xml:space="preserve"> </w:t>
      </w:r>
      <w:r w:rsidRPr="00200788">
        <w:rPr>
          <w:rFonts w:asciiTheme="majorHAnsi" w:hAnsiTheme="majorHAnsi" w:cs="Arial"/>
          <w:b/>
          <w:i/>
          <w:color w:val="auto"/>
          <w:sz w:val="22"/>
          <w:szCs w:val="22"/>
        </w:rPr>
        <w:t>Endorsement for Culturally Sensitive, Relationship-Focused Practice Promoting Infant Mental Health (IMH-E ®)</w:t>
      </w:r>
      <w:r w:rsidRPr="00F85A9C">
        <w:rPr>
          <w:rFonts w:asciiTheme="majorHAnsi" w:hAnsiTheme="majorHAnsi" w:cs="Arial"/>
          <w:color w:val="auto"/>
          <w:sz w:val="22"/>
          <w:szCs w:val="22"/>
        </w:rPr>
        <w:t xml:space="preserve"> </w:t>
      </w:r>
      <w:r w:rsidRPr="00F85A9C">
        <w:rPr>
          <w:rFonts w:asciiTheme="majorHAnsi" w:eastAsia="Calibri" w:hAnsiTheme="majorHAnsi" w:cs="Arial"/>
          <w:color w:val="auto"/>
          <w:sz w:val="22"/>
          <w:szCs w:val="22"/>
        </w:rPr>
        <w:t xml:space="preserve">Exam for </w:t>
      </w:r>
      <w:r w:rsidRPr="00F85A9C">
        <w:rPr>
          <w:rFonts w:asciiTheme="majorHAnsi" w:eastAsia="Calibri" w:hAnsiTheme="majorHAnsi" w:cs="Arial"/>
          <w:i/>
          <w:color w:val="auto"/>
          <w:sz w:val="22"/>
          <w:szCs w:val="22"/>
        </w:rPr>
        <w:t>Infant Mental Health Specialists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III</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&amp; </w:t>
      </w:r>
      <w:r w:rsidRPr="00F85A9C">
        <w:rPr>
          <w:rFonts w:asciiTheme="majorHAnsi" w:eastAsia="Calibri" w:hAnsiTheme="majorHAnsi" w:cs="Arial"/>
          <w:i/>
          <w:color w:val="auto"/>
          <w:sz w:val="22"/>
          <w:szCs w:val="22"/>
        </w:rPr>
        <w:t>Infant Mental Health Mentors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IV</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w:t>
      </w:r>
      <w:r w:rsidR="00200788">
        <w:rPr>
          <w:rFonts w:asciiTheme="majorHAnsi" w:eastAsia="Calibri" w:hAnsiTheme="majorHAnsi" w:cs="Arial"/>
          <w:color w:val="auto"/>
          <w:sz w:val="22"/>
          <w:szCs w:val="22"/>
        </w:rPr>
        <w:t>a list has been</w:t>
      </w:r>
      <w:r w:rsidR="00262D6A" w:rsidRPr="00F85A9C">
        <w:rPr>
          <w:rFonts w:asciiTheme="majorHAnsi" w:eastAsia="Calibri" w:hAnsiTheme="majorHAnsi" w:cs="Arial"/>
          <w:color w:val="auto"/>
          <w:sz w:val="22"/>
          <w:szCs w:val="22"/>
        </w:rPr>
        <w:t xml:space="preserve"> prepared of recommended readings that we believe are essential for infant mental health practitioners</w:t>
      </w:r>
      <w:r w:rsidR="00262D6A" w:rsidRPr="00F85A9C">
        <w:rPr>
          <w:rFonts w:asciiTheme="majorHAnsi" w:eastAsia="Calibri" w:hAnsiTheme="majorHAnsi" w:cs="Arial"/>
          <w:sz w:val="22"/>
          <w:szCs w:val="22"/>
        </w:rPr>
        <w:t xml:space="preserve"> and providers of reflective supervision/consultation. </w:t>
      </w:r>
      <w:r w:rsidR="00200788">
        <w:rPr>
          <w:rFonts w:asciiTheme="majorHAnsi" w:eastAsia="Calibri" w:hAnsiTheme="majorHAnsi" w:cs="Arial"/>
          <w:sz w:val="22"/>
          <w:szCs w:val="22"/>
        </w:rPr>
        <w:t xml:space="preserve"> </w:t>
      </w:r>
    </w:p>
    <w:p w14:paraId="1AF6325F" w14:textId="77777777" w:rsidR="004C7F4B" w:rsidRPr="00F85A9C" w:rsidRDefault="004C7F4B">
      <w:pPr>
        <w:pStyle w:val="Normal1"/>
        <w:widowControl w:val="0"/>
        <w:rPr>
          <w:rFonts w:asciiTheme="majorHAnsi" w:hAnsiTheme="majorHAnsi" w:cs="Arial"/>
          <w:sz w:val="22"/>
          <w:szCs w:val="22"/>
        </w:rPr>
      </w:pPr>
    </w:p>
    <w:p w14:paraId="71F732A3" w14:textId="7DE906D7" w:rsidR="00FB23F0" w:rsidRDefault="00262D6A">
      <w:pPr>
        <w:pStyle w:val="Normal1"/>
        <w:widowControl w:val="0"/>
        <w:rPr>
          <w:rFonts w:asciiTheme="majorHAnsi" w:eastAsia="Calibri" w:hAnsiTheme="majorHAnsi" w:cs="Arial"/>
          <w:sz w:val="22"/>
          <w:szCs w:val="22"/>
        </w:rPr>
      </w:pPr>
      <w:r w:rsidRPr="00F85A9C">
        <w:rPr>
          <w:rFonts w:asciiTheme="majorHAnsi" w:eastAsia="Calibri" w:hAnsiTheme="majorHAnsi" w:cs="Arial"/>
          <w:sz w:val="22"/>
          <w:szCs w:val="22"/>
        </w:rPr>
        <w:t>Please keep in mind that it is impossible to include all of the written materials that provide a solid foundation for understanding and promoting infant mental health! It is equally important to remember that each infant mental health professional builds a personal knowledge base over time and in relationship to specific work experiences and challenges, i.e., clinical case work, home visiting practice, supervisory role, training, teaching, and research. Finally, and perhaps most important, the integration of knowledge into one’s best practice takes place within the context of regularly scheduled reflective supervision/consultation experiences.</w:t>
      </w:r>
    </w:p>
    <w:p w14:paraId="60DF48F6" w14:textId="77777777" w:rsidR="00A2319B" w:rsidRDefault="00A2319B">
      <w:pPr>
        <w:pStyle w:val="Normal1"/>
        <w:widowControl w:val="0"/>
        <w:rPr>
          <w:rFonts w:asciiTheme="majorHAnsi" w:eastAsia="Calibri" w:hAnsiTheme="majorHAnsi" w:cs="Arial"/>
          <w:sz w:val="22"/>
          <w:szCs w:val="22"/>
        </w:rPr>
      </w:pPr>
    </w:p>
    <w:p w14:paraId="70FEFF0C" w14:textId="018B6EF7" w:rsidR="00A2319B" w:rsidRPr="00A2319B" w:rsidRDefault="00A2319B">
      <w:pPr>
        <w:pStyle w:val="Normal1"/>
        <w:widowControl w:val="0"/>
        <w:rPr>
          <w:rFonts w:asciiTheme="majorHAnsi" w:hAnsiTheme="majorHAnsi" w:cs="Arial"/>
          <w:i/>
          <w:sz w:val="22"/>
          <w:szCs w:val="22"/>
        </w:rPr>
      </w:pPr>
      <w:r w:rsidRPr="00A2319B">
        <w:rPr>
          <w:rFonts w:asciiTheme="majorHAnsi" w:eastAsia="Calibri" w:hAnsiTheme="majorHAnsi" w:cs="Arial"/>
          <w:i/>
          <w:sz w:val="22"/>
          <w:szCs w:val="22"/>
        </w:rPr>
        <w:t>**Some articles meet multiple domains and are repeated</w:t>
      </w:r>
    </w:p>
    <w:p w14:paraId="0A39E5A0" w14:textId="5686AEE0" w:rsidR="00EA59E2" w:rsidRDefault="00E77741" w:rsidP="00EA59E2">
      <w:pPr>
        <w:pStyle w:val="Normal1"/>
        <w:rPr>
          <w:rStyle w:val="IntenseEmphasis"/>
          <w:sz w:val="32"/>
          <w:szCs w:val="32"/>
        </w:rPr>
      </w:pPr>
      <w:r>
        <w:rPr>
          <w:rFonts w:asciiTheme="majorHAnsi" w:eastAsia="Calibri" w:hAnsiTheme="majorHAnsi" w:cs="Arial"/>
          <w:sz w:val="22"/>
          <w:szCs w:val="22"/>
        </w:rPr>
        <w:br/>
      </w:r>
      <w:bookmarkStart w:id="0" w:name="_GoBack"/>
      <w:bookmarkEnd w:id="0"/>
      <w:r w:rsidR="00A06238">
        <w:rPr>
          <w:rStyle w:val="IntenseEmphasis"/>
          <w:sz w:val="32"/>
          <w:szCs w:val="32"/>
        </w:rPr>
        <w:t>Other Competency Domains</w:t>
      </w:r>
    </w:p>
    <w:p w14:paraId="2FB6B998" w14:textId="14288EA8"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American Academy of Pediatrics Policy Statement (2016). “Media and Young Minds.” Retrieved from: </w:t>
      </w:r>
      <w:hyperlink r:id="rId7" w:history="1">
        <w:r w:rsidRPr="002A2CF1">
          <w:rPr>
            <w:rStyle w:val="Hyperlink"/>
            <w:rFonts w:asciiTheme="majorHAnsi" w:hAnsiTheme="majorHAnsi"/>
            <w:sz w:val="22"/>
            <w:szCs w:val="22"/>
          </w:rPr>
          <w:t>http://pediatrics.aappublications.org/content/early/2016/10/19/peds.2016-2591</w:t>
        </w:r>
      </w:hyperlink>
      <w:r>
        <w:rPr>
          <w:rStyle w:val="IntenseEmphasis"/>
          <w:rFonts w:asciiTheme="majorHAnsi" w:hAnsiTheme="majorHAnsi"/>
          <w:i w:val="0"/>
          <w:iCs w:val="0"/>
          <w:color w:val="auto"/>
          <w:sz w:val="22"/>
          <w:szCs w:val="22"/>
        </w:rPr>
        <w:t xml:space="preserve"> </w:t>
      </w:r>
    </w:p>
    <w:p w14:paraId="0FFAB8FD"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2097814D" w14:textId="2311DE83"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Georgetown University Early Childhood Intervention Professional Development Center.  “Letting ‘Homeless kids’ just be ‘kids’: The role of play in alleviating toxic stress.” (2016).   </w:t>
      </w:r>
      <w:proofErr w:type="gramStart"/>
      <w:r w:rsidRPr="00A06238">
        <w:rPr>
          <w:rStyle w:val="IntenseEmphasis"/>
          <w:rFonts w:asciiTheme="majorHAnsi" w:hAnsiTheme="majorHAnsi"/>
          <w:i w:val="0"/>
          <w:iCs w:val="0"/>
          <w:color w:val="auto"/>
          <w:sz w:val="22"/>
          <w:szCs w:val="22"/>
        </w:rPr>
        <w:t>Retrieved</w:t>
      </w:r>
      <w:proofErr w:type="gramEnd"/>
      <w:r w:rsidRPr="00A06238">
        <w:rPr>
          <w:rStyle w:val="IntenseEmphasis"/>
          <w:rFonts w:asciiTheme="majorHAnsi" w:hAnsiTheme="majorHAnsi"/>
          <w:i w:val="0"/>
          <w:iCs w:val="0"/>
          <w:color w:val="auto"/>
          <w:sz w:val="22"/>
          <w:szCs w:val="22"/>
        </w:rPr>
        <w:t xml:space="preserve"> from:  </w:t>
      </w:r>
      <w:hyperlink r:id="rId8" w:history="1">
        <w:r w:rsidRPr="002A2CF1">
          <w:rPr>
            <w:rStyle w:val="Hyperlink"/>
            <w:rFonts w:asciiTheme="majorHAnsi" w:hAnsiTheme="majorHAnsi"/>
            <w:sz w:val="22"/>
            <w:szCs w:val="22"/>
          </w:rPr>
          <w:t>https://guprofdev.wordpress.com/2016/10/26/letting-homeless-kids-just-be-kids-the-role-of-play-in-alleviating-toxic-stress/</w:t>
        </w:r>
      </w:hyperlink>
      <w:r>
        <w:rPr>
          <w:rStyle w:val="IntenseEmphasis"/>
          <w:rFonts w:asciiTheme="majorHAnsi" w:hAnsiTheme="majorHAnsi"/>
          <w:i w:val="0"/>
          <w:iCs w:val="0"/>
          <w:color w:val="auto"/>
          <w:sz w:val="22"/>
          <w:szCs w:val="22"/>
        </w:rPr>
        <w:t xml:space="preserve"> </w:t>
      </w:r>
    </w:p>
    <w:p w14:paraId="6F483412"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40029338" w14:textId="5E56C24E"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Harvard University’s Center on the Developing Child:  </w:t>
      </w:r>
      <w:hyperlink r:id="rId9" w:history="1">
        <w:r w:rsidRPr="002A2CF1">
          <w:rPr>
            <w:rStyle w:val="Hyperlink"/>
            <w:rFonts w:asciiTheme="majorHAnsi" w:hAnsiTheme="majorHAnsi"/>
            <w:sz w:val="22"/>
            <w:szCs w:val="22"/>
          </w:rPr>
          <w:t>http://developingchild.harvard.edu</w:t>
        </w:r>
      </w:hyperlink>
      <w:r>
        <w:rPr>
          <w:rStyle w:val="IntenseEmphasis"/>
          <w:rFonts w:asciiTheme="majorHAnsi" w:hAnsiTheme="majorHAnsi"/>
          <w:i w:val="0"/>
          <w:iCs w:val="0"/>
          <w:color w:val="auto"/>
          <w:sz w:val="22"/>
          <w:szCs w:val="22"/>
        </w:rPr>
        <w:t xml:space="preserve"> </w:t>
      </w:r>
      <w:r w:rsidRPr="00A06238">
        <w:rPr>
          <w:rStyle w:val="IntenseEmphasis"/>
          <w:rFonts w:asciiTheme="majorHAnsi" w:hAnsiTheme="majorHAnsi"/>
          <w:i w:val="0"/>
          <w:iCs w:val="0"/>
          <w:color w:val="auto"/>
          <w:sz w:val="22"/>
          <w:szCs w:val="22"/>
        </w:rPr>
        <w:t xml:space="preserve"> </w:t>
      </w:r>
    </w:p>
    <w:p w14:paraId="3DD6AEC6"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6FFBBD31" w14:textId="00BB0E20"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Health Resources and Services Administration website:  </w:t>
      </w:r>
      <w:hyperlink r:id="rId10" w:history="1">
        <w:r w:rsidRPr="002A2CF1">
          <w:rPr>
            <w:rStyle w:val="Hyperlink"/>
            <w:rFonts w:asciiTheme="majorHAnsi" w:hAnsiTheme="majorHAnsi"/>
            <w:sz w:val="22"/>
            <w:szCs w:val="22"/>
          </w:rPr>
          <w:t>http://mchb.hrsa.gov/maternal-child-health-initiatives/home-visiting-overview</w:t>
        </w:r>
      </w:hyperlink>
      <w:r>
        <w:rPr>
          <w:rStyle w:val="IntenseEmphasis"/>
          <w:rFonts w:asciiTheme="majorHAnsi" w:hAnsiTheme="majorHAnsi"/>
          <w:i w:val="0"/>
          <w:iCs w:val="0"/>
          <w:color w:val="auto"/>
          <w:sz w:val="22"/>
          <w:szCs w:val="22"/>
        </w:rPr>
        <w:t xml:space="preserve"> </w:t>
      </w:r>
    </w:p>
    <w:p w14:paraId="2795E3C8"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3C50478C" w14:textId="68308563"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The Heckman Equatio</w:t>
      </w:r>
      <w:r>
        <w:rPr>
          <w:rStyle w:val="IntenseEmphasis"/>
          <w:rFonts w:asciiTheme="majorHAnsi" w:hAnsiTheme="majorHAnsi"/>
          <w:i w:val="0"/>
          <w:iCs w:val="0"/>
          <w:color w:val="auto"/>
          <w:sz w:val="22"/>
          <w:szCs w:val="22"/>
        </w:rPr>
        <w:t xml:space="preserve">n:  </w:t>
      </w:r>
      <w:hyperlink r:id="rId11" w:history="1">
        <w:r w:rsidRPr="002A2CF1">
          <w:rPr>
            <w:rStyle w:val="Hyperlink"/>
            <w:rFonts w:asciiTheme="majorHAnsi" w:hAnsiTheme="majorHAnsi"/>
            <w:sz w:val="22"/>
            <w:szCs w:val="22"/>
          </w:rPr>
          <w:t>https://heckmanequation.org</w:t>
        </w:r>
      </w:hyperlink>
      <w:r>
        <w:rPr>
          <w:rStyle w:val="IntenseEmphasis"/>
          <w:rFonts w:asciiTheme="majorHAnsi" w:hAnsiTheme="majorHAnsi"/>
          <w:i w:val="0"/>
          <w:iCs w:val="0"/>
          <w:color w:val="auto"/>
          <w:sz w:val="22"/>
          <w:szCs w:val="22"/>
        </w:rPr>
        <w:t xml:space="preserve"> </w:t>
      </w:r>
    </w:p>
    <w:p w14:paraId="6ED5A22B"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14BB436F" w14:textId="49E50D2D"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lastRenderedPageBreak/>
        <w:t xml:space="preserve">National Resource Center </w:t>
      </w:r>
      <w:proofErr w:type="gramStart"/>
      <w:r w:rsidRPr="00A06238">
        <w:rPr>
          <w:rStyle w:val="IntenseEmphasis"/>
          <w:rFonts w:asciiTheme="majorHAnsi" w:hAnsiTheme="majorHAnsi"/>
          <w:i w:val="0"/>
          <w:iCs w:val="0"/>
          <w:color w:val="auto"/>
          <w:sz w:val="22"/>
          <w:szCs w:val="22"/>
        </w:rPr>
        <w:t>For</w:t>
      </w:r>
      <w:proofErr w:type="gramEnd"/>
      <w:r w:rsidRPr="00A06238">
        <w:rPr>
          <w:rStyle w:val="IntenseEmphasis"/>
          <w:rFonts w:asciiTheme="majorHAnsi" w:hAnsiTheme="majorHAnsi"/>
          <w:i w:val="0"/>
          <w:iCs w:val="0"/>
          <w:color w:val="auto"/>
          <w:sz w:val="22"/>
          <w:szCs w:val="22"/>
        </w:rPr>
        <w:t xml:space="preserve"> Mental Health Promotion &amp; Youth Violence Prevention website:  </w:t>
      </w:r>
      <w:hyperlink r:id="rId12" w:history="1">
        <w:r w:rsidRPr="002A2CF1">
          <w:rPr>
            <w:rStyle w:val="Hyperlink"/>
            <w:rFonts w:asciiTheme="majorHAnsi" w:hAnsiTheme="majorHAnsi"/>
            <w:sz w:val="22"/>
            <w:szCs w:val="22"/>
          </w:rPr>
          <w:t>http://www.healthysafechildren.org/grantee/project-launch</w:t>
        </w:r>
      </w:hyperlink>
      <w:r>
        <w:rPr>
          <w:rStyle w:val="IntenseEmphasis"/>
          <w:rFonts w:asciiTheme="majorHAnsi" w:hAnsiTheme="majorHAnsi"/>
          <w:i w:val="0"/>
          <w:iCs w:val="0"/>
          <w:color w:val="auto"/>
          <w:sz w:val="22"/>
          <w:szCs w:val="22"/>
        </w:rPr>
        <w:t xml:space="preserve"> </w:t>
      </w:r>
    </w:p>
    <w:p w14:paraId="6F16BDE2"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567F68A8" w14:textId="6CF1B35D"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U.S. Department of Health and Human Services and U.S. Department of Education Policy Statement on Expulsion and Suspension Policies in Early Childhood Settings (2016).  Retrieved </w:t>
      </w:r>
      <w:proofErr w:type="gramStart"/>
      <w:r w:rsidRPr="00A06238">
        <w:rPr>
          <w:rStyle w:val="IntenseEmphasis"/>
          <w:rFonts w:asciiTheme="majorHAnsi" w:hAnsiTheme="majorHAnsi"/>
          <w:i w:val="0"/>
          <w:iCs w:val="0"/>
          <w:color w:val="auto"/>
          <w:sz w:val="22"/>
          <w:szCs w:val="22"/>
        </w:rPr>
        <w:t>from :</w:t>
      </w:r>
      <w:proofErr w:type="gramEnd"/>
      <w:r w:rsidRPr="00A06238">
        <w:rPr>
          <w:rStyle w:val="IntenseEmphasis"/>
          <w:rFonts w:asciiTheme="majorHAnsi" w:hAnsiTheme="majorHAnsi"/>
          <w:i w:val="0"/>
          <w:iCs w:val="0"/>
          <w:color w:val="auto"/>
          <w:sz w:val="22"/>
          <w:szCs w:val="22"/>
        </w:rPr>
        <w:t xml:space="preserve"> </w:t>
      </w:r>
      <w:hyperlink r:id="rId13" w:history="1">
        <w:r w:rsidRPr="002A2CF1">
          <w:rPr>
            <w:rStyle w:val="Hyperlink"/>
            <w:rFonts w:asciiTheme="majorHAnsi" w:hAnsiTheme="majorHAnsi"/>
            <w:sz w:val="22"/>
            <w:szCs w:val="22"/>
          </w:rPr>
          <w:t>https://www2.ed.gov/policy/gen/guid/school-discipline/policy-statement-ece-expulsions-suspensions.pdf</w:t>
        </w:r>
      </w:hyperlink>
      <w:r>
        <w:rPr>
          <w:rStyle w:val="IntenseEmphasis"/>
          <w:rFonts w:asciiTheme="majorHAnsi" w:hAnsiTheme="majorHAnsi"/>
          <w:i w:val="0"/>
          <w:iCs w:val="0"/>
          <w:color w:val="auto"/>
          <w:sz w:val="22"/>
          <w:szCs w:val="22"/>
        </w:rPr>
        <w:t xml:space="preserve"> </w:t>
      </w:r>
    </w:p>
    <w:p w14:paraId="70DEE20D" w14:textId="77777777" w:rsidR="00A06238" w:rsidRPr="00A06238" w:rsidRDefault="00A06238" w:rsidP="00A06238">
      <w:pPr>
        <w:pStyle w:val="NoSpacing"/>
        <w:rPr>
          <w:rStyle w:val="IntenseEmphasis"/>
          <w:rFonts w:asciiTheme="majorHAnsi" w:hAnsiTheme="majorHAnsi"/>
          <w:i w:val="0"/>
          <w:iCs w:val="0"/>
          <w:color w:val="auto"/>
          <w:sz w:val="22"/>
          <w:szCs w:val="22"/>
        </w:rPr>
      </w:pPr>
    </w:p>
    <w:p w14:paraId="25F090C8" w14:textId="670F1FFC" w:rsidR="00A06238" w:rsidRPr="00A06238" w:rsidRDefault="00A06238" w:rsidP="00A06238">
      <w:pPr>
        <w:pStyle w:val="NoSpacing"/>
        <w:rPr>
          <w:rStyle w:val="IntenseEmphasis"/>
          <w:rFonts w:asciiTheme="majorHAnsi" w:hAnsiTheme="majorHAnsi"/>
          <w:i w:val="0"/>
          <w:iCs w:val="0"/>
          <w:color w:val="auto"/>
          <w:sz w:val="22"/>
          <w:szCs w:val="22"/>
        </w:rPr>
      </w:pPr>
      <w:r w:rsidRPr="00A06238">
        <w:rPr>
          <w:rStyle w:val="IntenseEmphasis"/>
          <w:rFonts w:asciiTheme="majorHAnsi" w:hAnsiTheme="majorHAnsi"/>
          <w:i w:val="0"/>
          <w:iCs w:val="0"/>
          <w:color w:val="auto"/>
          <w:sz w:val="22"/>
          <w:szCs w:val="22"/>
        </w:rPr>
        <w:t xml:space="preserve">ZERO TO THREE Policy Resources:  </w:t>
      </w:r>
      <w:hyperlink r:id="rId14" w:history="1">
        <w:r w:rsidRPr="002A2CF1">
          <w:rPr>
            <w:rStyle w:val="Hyperlink"/>
            <w:rFonts w:asciiTheme="majorHAnsi" w:hAnsiTheme="majorHAnsi"/>
            <w:sz w:val="22"/>
            <w:szCs w:val="22"/>
          </w:rPr>
          <w:t>https://www.zerotothree.org/resources?type=policy-resources</w:t>
        </w:r>
      </w:hyperlink>
      <w:r>
        <w:rPr>
          <w:rStyle w:val="IntenseEmphasis"/>
          <w:rFonts w:asciiTheme="majorHAnsi" w:hAnsiTheme="majorHAnsi"/>
          <w:i w:val="0"/>
          <w:iCs w:val="0"/>
          <w:color w:val="auto"/>
          <w:sz w:val="22"/>
          <w:szCs w:val="22"/>
        </w:rPr>
        <w:t xml:space="preserve"> </w:t>
      </w:r>
    </w:p>
    <w:sectPr w:rsidR="00A06238" w:rsidRPr="00A06238" w:rsidSect="00A06238">
      <w:footerReference w:type="even" r:id="rId15"/>
      <w:footerReference w:type="default" r:id="rId16"/>
      <w:footnotePr>
        <w:numFmt w:val="chicago"/>
      </w:footnotePr>
      <w:pgSz w:w="12240" w:h="15840"/>
      <w:pgMar w:top="720" w:right="720" w:bottom="720" w:left="72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9962" w14:textId="77777777" w:rsidR="005B434A" w:rsidRDefault="005B434A" w:rsidP="004C7F4B">
      <w:r>
        <w:separator/>
      </w:r>
    </w:p>
  </w:endnote>
  <w:endnote w:type="continuationSeparator" w:id="0">
    <w:p w14:paraId="0B211396" w14:textId="77777777" w:rsidR="005B434A" w:rsidRDefault="005B434A" w:rsidP="004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64F4" w14:textId="77777777" w:rsidR="00985837" w:rsidRDefault="00985837" w:rsidP="0026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FB638" w14:textId="77777777" w:rsidR="00985837" w:rsidRDefault="0098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17B5" w14:textId="4E7F1AC1" w:rsidR="00460BEA" w:rsidRDefault="00460BEA" w:rsidP="00460BEA">
    <w:pPr>
      <w:pStyle w:val="Footer"/>
      <w:jc w:val="center"/>
    </w:pPr>
    <w:r w:rsidRPr="00135EDE">
      <w:t>Adapted from the Michigan Association of Infant Mental Health (MI</w:t>
    </w:r>
    <w:r>
      <w:t>-</w:t>
    </w:r>
    <w:r w:rsidRPr="00135EDE">
      <w:t>AIMH)</w:t>
    </w:r>
    <w:r>
      <w:t xml:space="preserve"> </w:t>
    </w:r>
    <w:hyperlink r:id="rId1" w:history="1">
      <w:r w:rsidRPr="002A2CF1">
        <w:rPr>
          <w:rStyle w:val="Hyperlink"/>
        </w:rPr>
        <w:t>www.mi-aimh.org</w:t>
      </w:r>
    </w:hyperlink>
  </w:p>
  <w:p w14:paraId="36125E7F" w14:textId="3389F4BF" w:rsidR="00460BEA" w:rsidRDefault="00460BEA">
    <w:pPr>
      <w:pStyle w:val="Footer"/>
    </w:pPr>
  </w:p>
  <w:p w14:paraId="108905FD" w14:textId="77777777" w:rsidR="00985837" w:rsidRDefault="0098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4F7D" w14:textId="77777777" w:rsidR="005B434A" w:rsidRDefault="005B434A" w:rsidP="004C7F4B">
      <w:r>
        <w:separator/>
      </w:r>
    </w:p>
  </w:footnote>
  <w:footnote w:type="continuationSeparator" w:id="0">
    <w:p w14:paraId="23511577" w14:textId="77777777" w:rsidR="005B434A" w:rsidRDefault="005B434A" w:rsidP="004C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0"/>
    <w:rsid w:val="0012199A"/>
    <w:rsid w:val="001C34AA"/>
    <w:rsid w:val="00200788"/>
    <w:rsid w:val="00262D6A"/>
    <w:rsid w:val="0030330B"/>
    <w:rsid w:val="00405711"/>
    <w:rsid w:val="00460BEA"/>
    <w:rsid w:val="004C7F4B"/>
    <w:rsid w:val="005B434A"/>
    <w:rsid w:val="007B3C18"/>
    <w:rsid w:val="00985837"/>
    <w:rsid w:val="00A06238"/>
    <w:rsid w:val="00A2319B"/>
    <w:rsid w:val="00A841FC"/>
    <w:rsid w:val="00AC3130"/>
    <w:rsid w:val="00C17371"/>
    <w:rsid w:val="00C3580E"/>
    <w:rsid w:val="00CE2764"/>
    <w:rsid w:val="00D467AD"/>
    <w:rsid w:val="00E27302"/>
    <w:rsid w:val="00E637FA"/>
    <w:rsid w:val="00E77741"/>
    <w:rsid w:val="00EA59E2"/>
    <w:rsid w:val="00F85A9C"/>
    <w:rsid w:val="00FB1ADD"/>
    <w:rsid w:val="00FB23F0"/>
    <w:rsid w:val="00FC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7D90F"/>
  <w15:docId w15:val="{22BB881B-8670-4084-B10F-B4A8EAB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C7F4B"/>
    <w:rPr>
      <w:color w:val="0000FF" w:themeColor="hyperlink"/>
      <w:u w:val="single"/>
    </w:rPr>
  </w:style>
  <w:style w:type="paragraph" w:styleId="FootnoteText">
    <w:name w:val="footnote text"/>
    <w:basedOn w:val="Normal"/>
    <w:link w:val="FootnoteTextChar"/>
    <w:uiPriority w:val="99"/>
    <w:unhideWhenUsed/>
    <w:rsid w:val="004C7F4B"/>
  </w:style>
  <w:style w:type="character" w:customStyle="1" w:styleId="FootnoteTextChar">
    <w:name w:val="Footnote Text Char"/>
    <w:basedOn w:val="DefaultParagraphFont"/>
    <w:link w:val="FootnoteText"/>
    <w:uiPriority w:val="99"/>
    <w:rsid w:val="004C7F4B"/>
  </w:style>
  <w:style w:type="character" w:styleId="FootnoteReference">
    <w:name w:val="footnote reference"/>
    <w:basedOn w:val="DefaultParagraphFont"/>
    <w:uiPriority w:val="99"/>
    <w:unhideWhenUsed/>
    <w:rsid w:val="004C7F4B"/>
    <w:rPr>
      <w:vertAlign w:val="superscript"/>
    </w:rPr>
  </w:style>
  <w:style w:type="paragraph" w:styleId="Footer">
    <w:name w:val="footer"/>
    <w:basedOn w:val="Normal"/>
    <w:link w:val="FooterChar"/>
    <w:uiPriority w:val="99"/>
    <w:unhideWhenUsed/>
    <w:rsid w:val="00262D6A"/>
    <w:pPr>
      <w:tabs>
        <w:tab w:val="center" w:pos="4320"/>
        <w:tab w:val="right" w:pos="8640"/>
      </w:tabs>
    </w:pPr>
  </w:style>
  <w:style w:type="character" w:customStyle="1" w:styleId="FooterChar">
    <w:name w:val="Footer Char"/>
    <w:basedOn w:val="DefaultParagraphFont"/>
    <w:link w:val="Footer"/>
    <w:uiPriority w:val="99"/>
    <w:rsid w:val="00262D6A"/>
  </w:style>
  <w:style w:type="character" w:styleId="PageNumber">
    <w:name w:val="page number"/>
    <w:basedOn w:val="DefaultParagraphFont"/>
    <w:uiPriority w:val="99"/>
    <w:semiHidden/>
    <w:unhideWhenUsed/>
    <w:rsid w:val="00262D6A"/>
  </w:style>
  <w:style w:type="paragraph" w:styleId="Header">
    <w:name w:val="header"/>
    <w:basedOn w:val="Normal"/>
    <w:link w:val="HeaderChar"/>
    <w:uiPriority w:val="99"/>
    <w:unhideWhenUsed/>
    <w:rsid w:val="00262D6A"/>
    <w:pPr>
      <w:tabs>
        <w:tab w:val="center" w:pos="4320"/>
        <w:tab w:val="right" w:pos="8640"/>
      </w:tabs>
    </w:pPr>
  </w:style>
  <w:style w:type="character" w:customStyle="1" w:styleId="HeaderChar">
    <w:name w:val="Header Char"/>
    <w:basedOn w:val="DefaultParagraphFont"/>
    <w:link w:val="Header"/>
    <w:uiPriority w:val="99"/>
    <w:rsid w:val="00262D6A"/>
  </w:style>
  <w:style w:type="character" w:styleId="IntenseReference">
    <w:name w:val="Intense Reference"/>
    <w:basedOn w:val="DefaultParagraphFont"/>
    <w:uiPriority w:val="32"/>
    <w:qFormat/>
    <w:rsid w:val="00200788"/>
    <w:rPr>
      <w:b/>
      <w:bCs/>
      <w:smallCaps/>
      <w:color w:val="4F81BD" w:themeColor="accent1"/>
      <w:spacing w:val="5"/>
    </w:rPr>
  </w:style>
  <w:style w:type="character" w:styleId="IntenseEmphasis">
    <w:name w:val="Intense Emphasis"/>
    <w:basedOn w:val="DefaultParagraphFont"/>
    <w:uiPriority w:val="21"/>
    <w:qFormat/>
    <w:rsid w:val="00200788"/>
    <w:rPr>
      <w:i/>
      <w:iCs/>
      <w:color w:val="4F81BD" w:themeColor="accent1"/>
    </w:rPr>
  </w:style>
  <w:style w:type="character" w:styleId="Strong">
    <w:name w:val="Strong"/>
    <w:basedOn w:val="DefaultParagraphFont"/>
    <w:uiPriority w:val="22"/>
    <w:qFormat/>
    <w:rsid w:val="00200788"/>
    <w:rPr>
      <w:b/>
      <w:bCs/>
    </w:rPr>
  </w:style>
  <w:style w:type="paragraph" w:styleId="NoSpacing">
    <w:name w:val="No Spacing"/>
    <w:uiPriority w:val="1"/>
    <w:qFormat/>
    <w:rsid w:val="00D4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216">
      <w:bodyDiv w:val="1"/>
      <w:marLeft w:val="0"/>
      <w:marRight w:val="0"/>
      <w:marTop w:val="0"/>
      <w:marBottom w:val="0"/>
      <w:divBdr>
        <w:top w:val="none" w:sz="0" w:space="0" w:color="auto"/>
        <w:left w:val="none" w:sz="0" w:space="0" w:color="auto"/>
        <w:bottom w:val="none" w:sz="0" w:space="0" w:color="auto"/>
        <w:right w:val="none" w:sz="0" w:space="0" w:color="auto"/>
      </w:divBdr>
    </w:div>
    <w:div w:id="271134469">
      <w:bodyDiv w:val="1"/>
      <w:marLeft w:val="0"/>
      <w:marRight w:val="0"/>
      <w:marTop w:val="0"/>
      <w:marBottom w:val="0"/>
      <w:divBdr>
        <w:top w:val="none" w:sz="0" w:space="0" w:color="auto"/>
        <w:left w:val="none" w:sz="0" w:space="0" w:color="auto"/>
        <w:bottom w:val="none" w:sz="0" w:space="0" w:color="auto"/>
        <w:right w:val="none" w:sz="0" w:space="0" w:color="auto"/>
      </w:divBdr>
      <w:divsChild>
        <w:div w:id="1294481809">
          <w:marLeft w:val="0"/>
          <w:marRight w:val="0"/>
          <w:marTop w:val="0"/>
          <w:marBottom w:val="0"/>
          <w:divBdr>
            <w:top w:val="none" w:sz="0" w:space="0" w:color="auto"/>
            <w:left w:val="none" w:sz="0" w:space="0" w:color="auto"/>
            <w:bottom w:val="none" w:sz="0" w:space="0" w:color="auto"/>
            <w:right w:val="none" w:sz="0" w:space="0" w:color="auto"/>
          </w:divBdr>
          <w:divsChild>
            <w:div w:id="644625891">
              <w:marLeft w:val="0"/>
              <w:marRight w:val="0"/>
              <w:marTop w:val="0"/>
              <w:marBottom w:val="0"/>
              <w:divBdr>
                <w:top w:val="none" w:sz="0" w:space="0" w:color="auto"/>
                <w:left w:val="none" w:sz="0" w:space="0" w:color="auto"/>
                <w:bottom w:val="none" w:sz="0" w:space="0" w:color="auto"/>
                <w:right w:val="none" w:sz="0" w:space="0" w:color="auto"/>
              </w:divBdr>
              <w:divsChild>
                <w:div w:id="209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909">
      <w:bodyDiv w:val="1"/>
      <w:marLeft w:val="0"/>
      <w:marRight w:val="0"/>
      <w:marTop w:val="0"/>
      <w:marBottom w:val="0"/>
      <w:divBdr>
        <w:top w:val="none" w:sz="0" w:space="0" w:color="auto"/>
        <w:left w:val="none" w:sz="0" w:space="0" w:color="auto"/>
        <w:bottom w:val="none" w:sz="0" w:space="0" w:color="auto"/>
        <w:right w:val="none" w:sz="0" w:space="0" w:color="auto"/>
      </w:divBdr>
    </w:div>
    <w:div w:id="334040256">
      <w:bodyDiv w:val="1"/>
      <w:marLeft w:val="0"/>
      <w:marRight w:val="0"/>
      <w:marTop w:val="0"/>
      <w:marBottom w:val="0"/>
      <w:divBdr>
        <w:top w:val="none" w:sz="0" w:space="0" w:color="auto"/>
        <w:left w:val="none" w:sz="0" w:space="0" w:color="auto"/>
        <w:bottom w:val="none" w:sz="0" w:space="0" w:color="auto"/>
        <w:right w:val="none" w:sz="0" w:space="0" w:color="auto"/>
      </w:divBdr>
    </w:div>
    <w:div w:id="508132714">
      <w:bodyDiv w:val="1"/>
      <w:marLeft w:val="0"/>
      <w:marRight w:val="0"/>
      <w:marTop w:val="0"/>
      <w:marBottom w:val="0"/>
      <w:divBdr>
        <w:top w:val="none" w:sz="0" w:space="0" w:color="auto"/>
        <w:left w:val="none" w:sz="0" w:space="0" w:color="auto"/>
        <w:bottom w:val="none" w:sz="0" w:space="0" w:color="auto"/>
        <w:right w:val="none" w:sz="0" w:space="0" w:color="auto"/>
      </w:divBdr>
    </w:div>
    <w:div w:id="529487782">
      <w:bodyDiv w:val="1"/>
      <w:marLeft w:val="0"/>
      <w:marRight w:val="0"/>
      <w:marTop w:val="0"/>
      <w:marBottom w:val="0"/>
      <w:divBdr>
        <w:top w:val="none" w:sz="0" w:space="0" w:color="auto"/>
        <w:left w:val="none" w:sz="0" w:space="0" w:color="auto"/>
        <w:bottom w:val="none" w:sz="0" w:space="0" w:color="auto"/>
        <w:right w:val="none" w:sz="0" w:space="0" w:color="auto"/>
      </w:divBdr>
    </w:div>
    <w:div w:id="560485855">
      <w:bodyDiv w:val="1"/>
      <w:marLeft w:val="0"/>
      <w:marRight w:val="0"/>
      <w:marTop w:val="0"/>
      <w:marBottom w:val="0"/>
      <w:divBdr>
        <w:top w:val="none" w:sz="0" w:space="0" w:color="auto"/>
        <w:left w:val="none" w:sz="0" w:space="0" w:color="auto"/>
        <w:bottom w:val="none" w:sz="0" w:space="0" w:color="auto"/>
        <w:right w:val="none" w:sz="0" w:space="0" w:color="auto"/>
      </w:divBdr>
    </w:div>
    <w:div w:id="563026378">
      <w:bodyDiv w:val="1"/>
      <w:marLeft w:val="0"/>
      <w:marRight w:val="0"/>
      <w:marTop w:val="0"/>
      <w:marBottom w:val="0"/>
      <w:divBdr>
        <w:top w:val="none" w:sz="0" w:space="0" w:color="auto"/>
        <w:left w:val="none" w:sz="0" w:space="0" w:color="auto"/>
        <w:bottom w:val="none" w:sz="0" w:space="0" w:color="auto"/>
        <w:right w:val="none" w:sz="0" w:space="0" w:color="auto"/>
      </w:divBdr>
    </w:div>
    <w:div w:id="672295522">
      <w:bodyDiv w:val="1"/>
      <w:marLeft w:val="0"/>
      <w:marRight w:val="0"/>
      <w:marTop w:val="0"/>
      <w:marBottom w:val="0"/>
      <w:divBdr>
        <w:top w:val="none" w:sz="0" w:space="0" w:color="auto"/>
        <w:left w:val="none" w:sz="0" w:space="0" w:color="auto"/>
        <w:bottom w:val="none" w:sz="0" w:space="0" w:color="auto"/>
        <w:right w:val="none" w:sz="0" w:space="0" w:color="auto"/>
      </w:divBdr>
    </w:div>
    <w:div w:id="795104092">
      <w:bodyDiv w:val="1"/>
      <w:marLeft w:val="0"/>
      <w:marRight w:val="0"/>
      <w:marTop w:val="0"/>
      <w:marBottom w:val="0"/>
      <w:divBdr>
        <w:top w:val="none" w:sz="0" w:space="0" w:color="auto"/>
        <w:left w:val="none" w:sz="0" w:space="0" w:color="auto"/>
        <w:bottom w:val="none" w:sz="0" w:space="0" w:color="auto"/>
        <w:right w:val="none" w:sz="0" w:space="0" w:color="auto"/>
      </w:divBdr>
    </w:div>
    <w:div w:id="951739837">
      <w:bodyDiv w:val="1"/>
      <w:marLeft w:val="0"/>
      <w:marRight w:val="0"/>
      <w:marTop w:val="0"/>
      <w:marBottom w:val="0"/>
      <w:divBdr>
        <w:top w:val="none" w:sz="0" w:space="0" w:color="auto"/>
        <w:left w:val="none" w:sz="0" w:space="0" w:color="auto"/>
        <w:bottom w:val="none" w:sz="0" w:space="0" w:color="auto"/>
        <w:right w:val="none" w:sz="0" w:space="0" w:color="auto"/>
      </w:divBdr>
    </w:div>
    <w:div w:id="966086382">
      <w:bodyDiv w:val="1"/>
      <w:marLeft w:val="0"/>
      <w:marRight w:val="0"/>
      <w:marTop w:val="0"/>
      <w:marBottom w:val="0"/>
      <w:divBdr>
        <w:top w:val="none" w:sz="0" w:space="0" w:color="auto"/>
        <w:left w:val="none" w:sz="0" w:space="0" w:color="auto"/>
        <w:bottom w:val="none" w:sz="0" w:space="0" w:color="auto"/>
        <w:right w:val="none" w:sz="0" w:space="0" w:color="auto"/>
      </w:divBdr>
    </w:div>
    <w:div w:id="1284455412">
      <w:bodyDiv w:val="1"/>
      <w:marLeft w:val="0"/>
      <w:marRight w:val="0"/>
      <w:marTop w:val="0"/>
      <w:marBottom w:val="0"/>
      <w:divBdr>
        <w:top w:val="none" w:sz="0" w:space="0" w:color="auto"/>
        <w:left w:val="none" w:sz="0" w:space="0" w:color="auto"/>
        <w:bottom w:val="none" w:sz="0" w:space="0" w:color="auto"/>
        <w:right w:val="none" w:sz="0" w:space="0" w:color="auto"/>
      </w:divBdr>
    </w:div>
    <w:div w:id="1381171739">
      <w:bodyDiv w:val="1"/>
      <w:marLeft w:val="0"/>
      <w:marRight w:val="0"/>
      <w:marTop w:val="0"/>
      <w:marBottom w:val="0"/>
      <w:divBdr>
        <w:top w:val="none" w:sz="0" w:space="0" w:color="auto"/>
        <w:left w:val="none" w:sz="0" w:space="0" w:color="auto"/>
        <w:bottom w:val="none" w:sz="0" w:space="0" w:color="auto"/>
        <w:right w:val="none" w:sz="0" w:space="0" w:color="auto"/>
      </w:divBdr>
    </w:div>
    <w:div w:id="1434471232">
      <w:bodyDiv w:val="1"/>
      <w:marLeft w:val="0"/>
      <w:marRight w:val="0"/>
      <w:marTop w:val="0"/>
      <w:marBottom w:val="0"/>
      <w:divBdr>
        <w:top w:val="none" w:sz="0" w:space="0" w:color="auto"/>
        <w:left w:val="none" w:sz="0" w:space="0" w:color="auto"/>
        <w:bottom w:val="none" w:sz="0" w:space="0" w:color="auto"/>
        <w:right w:val="none" w:sz="0" w:space="0" w:color="auto"/>
      </w:divBdr>
    </w:div>
    <w:div w:id="1624965833">
      <w:bodyDiv w:val="1"/>
      <w:marLeft w:val="0"/>
      <w:marRight w:val="0"/>
      <w:marTop w:val="0"/>
      <w:marBottom w:val="0"/>
      <w:divBdr>
        <w:top w:val="none" w:sz="0" w:space="0" w:color="auto"/>
        <w:left w:val="none" w:sz="0" w:space="0" w:color="auto"/>
        <w:bottom w:val="none" w:sz="0" w:space="0" w:color="auto"/>
        <w:right w:val="none" w:sz="0" w:space="0" w:color="auto"/>
      </w:divBdr>
    </w:div>
    <w:div w:id="1668703040">
      <w:bodyDiv w:val="1"/>
      <w:marLeft w:val="0"/>
      <w:marRight w:val="0"/>
      <w:marTop w:val="0"/>
      <w:marBottom w:val="0"/>
      <w:divBdr>
        <w:top w:val="none" w:sz="0" w:space="0" w:color="auto"/>
        <w:left w:val="none" w:sz="0" w:space="0" w:color="auto"/>
        <w:bottom w:val="none" w:sz="0" w:space="0" w:color="auto"/>
        <w:right w:val="none" w:sz="0" w:space="0" w:color="auto"/>
      </w:divBdr>
    </w:div>
    <w:div w:id="1716809543">
      <w:bodyDiv w:val="1"/>
      <w:marLeft w:val="0"/>
      <w:marRight w:val="0"/>
      <w:marTop w:val="0"/>
      <w:marBottom w:val="0"/>
      <w:divBdr>
        <w:top w:val="none" w:sz="0" w:space="0" w:color="auto"/>
        <w:left w:val="none" w:sz="0" w:space="0" w:color="auto"/>
        <w:bottom w:val="none" w:sz="0" w:space="0" w:color="auto"/>
        <w:right w:val="none" w:sz="0" w:space="0" w:color="auto"/>
      </w:divBdr>
    </w:div>
    <w:div w:id="1837115765">
      <w:bodyDiv w:val="1"/>
      <w:marLeft w:val="0"/>
      <w:marRight w:val="0"/>
      <w:marTop w:val="0"/>
      <w:marBottom w:val="0"/>
      <w:divBdr>
        <w:top w:val="none" w:sz="0" w:space="0" w:color="auto"/>
        <w:left w:val="none" w:sz="0" w:space="0" w:color="auto"/>
        <w:bottom w:val="none" w:sz="0" w:space="0" w:color="auto"/>
        <w:right w:val="none" w:sz="0" w:space="0" w:color="auto"/>
      </w:divBdr>
    </w:div>
    <w:div w:id="1895002761">
      <w:bodyDiv w:val="1"/>
      <w:marLeft w:val="0"/>
      <w:marRight w:val="0"/>
      <w:marTop w:val="0"/>
      <w:marBottom w:val="0"/>
      <w:divBdr>
        <w:top w:val="none" w:sz="0" w:space="0" w:color="auto"/>
        <w:left w:val="none" w:sz="0" w:space="0" w:color="auto"/>
        <w:bottom w:val="none" w:sz="0" w:space="0" w:color="auto"/>
        <w:right w:val="none" w:sz="0" w:space="0" w:color="auto"/>
      </w:divBdr>
    </w:div>
    <w:div w:id="1903521224">
      <w:bodyDiv w:val="1"/>
      <w:marLeft w:val="0"/>
      <w:marRight w:val="0"/>
      <w:marTop w:val="0"/>
      <w:marBottom w:val="0"/>
      <w:divBdr>
        <w:top w:val="none" w:sz="0" w:space="0" w:color="auto"/>
        <w:left w:val="none" w:sz="0" w:space="0" w:color="auto"/>
        <w:bottom w:val="none" w:sz="0" w:space="0" w:color="auto"/>
        <w:right w:val="none" w:sz="0" w:space="0" w:color="auto"/>
      </w:divBdr>
    </w:div>
    <w:div w:id="1932423473">
      <w:bodyDiv w:val="1"/>
      <w:marLeft w:val="0"/>
      <w:marRight w:val="0"/>
      <w:marTop w:val="0"/>
      <w:marBottom w:val="0"/>
      <w:divBdr>
        <w:top w:val="none" w:sz="0" w:space="0" w:color="auto"/>
        <w:left w:val="none" w:sz="0" w:space="0" w:color="auto"/>
        <w:bottom w:val="none" w:sz="0" w:space="0" w:color="auto"/>
        <w:right w:val="none" w:sz="0" w:space="0" w:color="auto"/>
      </w:divBdr>
    </w:div>
    <w:div w:id="1990134835">
      <w:bodyDiv w:val="1"/>
      <w:marLeft w:val="0"/>
      <w:marRight w:val="0"/>
      <w:marTop w:val="0"/>
      <w:marBottom w:val="0"/>
      <w:divBdr>
        <w:top w:val="none" w:sz="0" w:space="0" w:color="auto"/>
        <w:left w:val="none" w:sz="0" w:space="0" w:color="auto"/>
        <w:bottom w:val="none" w:sz="0" w:space="0" w:color="auto"/>
        <w:right w:val="none" w:sz="0" w:space="0" w:color="auto"/>
      </w:divBdr>
    </w:div>
    <w:div w:id="2002812514">
      <w:bodyDiv w:val="1"/>
      <w:marLeft w:val="0"/>
      <w:marRight w:val="0"/>
      <w:marTop w:val="0"/>
      <w:marBottom w:val="0"/>
      <w:divBdr>
        <w:top w:val="none" w:sz="0" w:space="0" w:color="auto"/>
        <w:left w:val="none" w:sz="0" w:space="0" w:color="auto"/>
        <w:bottom w:val="none" w:sz="0" w:space="0" w:color="auto"/>
        <w:right w:val="none" w:sz="0" w:space="0" w:color="auto"/>
      </w:divBdr>
    </w:div>
    <w:div w:id="20324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uprofdev.wordpress.com/2016/10/26/letting-homeless-kids-just-be-kids-the-role-of-play-in-alleviating-toxic-stress/" TargetMode="External"/><Relationship Id="rId13" Type="http://schemas.openxmlformats.org/officeDocument/2006/relationships/hyperlink" Target="https://www2.ed.gov/policy/gen/guid/school-discipline/policy-statement-ece-expulsions-suspensions.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ediatrics.aappublications.org/content/early/2016/10/19/peds.2016-2591" TargetMode="External"/><Relationship Id="rId12" Type="http://schemas.openxmlformats.org/officeDocument/2006/relationships/hyperlink" Target="http://www.healthysafechildren.org/grantee/project-laun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heckmanequation.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mchb.hrsa.gov/maternal-child-health-initiatives/home-visiting-overview" TargetMode="External"/><Relationship Id="rId4" Type="http://schemas.openxmlformats.org/officeDocument/2006/relationships/footnotes" Target="footnotes.xml"/><Relationship Id="rId9" Type="http://schemas.openxmlformats.org/officeDocument/2006/relationships/hyperlink" Target="http://developingchild.harvard.edu" TargetMode="External"/><Relationship Id="rId14" Type="http://schemas.openxmlformats.org/officeDocument/2006/relationships/hyperlink" Target="https://www.zerotothree.org/resources?type=policy-resour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2872</Characters>
  <Application>Microsoft Office Word</Application>
  <DocSecurity>0</DocSecurity>
  <Lines>44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Fox</dc:creator>
  <cp:lastModifiedBy>Brandy Fox</cp:lastModifiedBy>
  <cp:revision>4</cp:revision>
  <dcterms:created xsi:type="dcterms:W3CDTF">2017-07-10T20:47:00Z</dcterms:created>
  <dcterms:modified xsi:type="dcterms:W3CDTF">2017-07-10T20:53:00Z</dcterms:modified>
</cp:coreProperties>
</file>